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疫情防控常态化保障</w:t>
      </w:r>
    </w:p>
    <w:p>
      <w:pPr>
        <w:pageBreakBefore w:val="0"/>
        <w:widowControl/>
        <w:kinsoku/>
        <w:wordWrap/>
        <w:overflowPunct/>
        <w:topLinePunct w:val="0"/>
        <w:autoSpaceDE/>
        <w:autoSpaceDN/>
        <w:bidi w:val="0"/>
        <w:adjustRightInd/>
        <w:spacing w:line="540" w:lineRule="exact"/>
        <w:ind w:firstLine="720" w:firstLineChars="20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专项资金（重点项目）</w:t>
      </w:r>
      <w:r>
        <w:rPr>
          <w:rFonts w:hint="default" w:ascii="Times New Roman" w:hAnsi="Times New Roman" w:eastAsia="方正小标宋_GBK" w:cs="Times New Roman"/>
          <w:sz w:val="36"/>
          <w:szCs w:val="36"/>
        </w:rPr>
        <w:t>绩效自评价报告</w:t>
      </w:r>
    </w:p>
    <w:p>
      <w:pPr>
        <w:widowControl/>
        <w:jc w:val="center"/>
        <w:rPr>
          <w:rFonts w:ascii="宋体" w:hAnsi="宋体" w:eastAsia="宋体" w:cs="宋体"/>
          <w:kern w:val="0"/>
          <w:sz w:val="24"/>
          <w:szCs w:val="24"/>
        </w:rPr>
      </w:pPr>
    </w:p>
    <w:p>
      <w:pPr>
        <w:widowControl/>
        <w:spacing w:line="560" w:lineRule="exact"/>
        <w:ind w:firstLine="640" w:firstLineChars="200"/>
        <w:jc w:val="left"/>
        <w:rPr>
          <w:rFonts w:ascii="黑体" w:hAnsi="黑体" w:eastAsia="黑体" w:cs="宋体"/>
          <w:kern w:val="0"/>
          <w:sz w:val="24"/>
          <w:szCs w:val="24"/>
        </w:rPr>
      </w:pPr>
      <w:r>
        <w:rPr>
          <w:rFonts w:hint="eastAsia" w:ascii="黑体" w:hAnsi="黑体" w:eastAsia="黑体" w:cs="宋体"/>
          <w:color w:val="000000"/>
          <w:kern w:val="0"/>
          <w:sz w:val="32"/>
          <w:szCs w:val="32"/>
        </w:rPr>
        <w:t>一、项目概况</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（一）项目基本情况</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新冠疫情常态化防控的背景下，</w:t>
      </w:r>
      <w:r>
        <w:rPr>
          <w:rFonts w:hint="eastAsia" w:ascii="仿宋_GB2312" w:hAnsi="宋体" w:eastAsia="仿宋_GB2312" w:cs="宋体"/>
          <w:color w:val="000000"/>
          <w:kern w:val="0"/>
          <w:sz w:val="32"/>
          <w:szCs w:val="32"/>
          <w:lang w:eastAsia="zh-CN"/>
        </w:rPr>
        <w:t>根据</w:t>
      </w:r>
      <w:r>
        <w:rPr>
          <w:rFonts w:hint="eastAsia" w:ascii="仿宋_GB2312" w:hAnsi="宋体" w:eastAsia="仿宋_GB2312" w:cs="宋体"/>
          <w:color w:val="000000"/>
          <w:kern w:val="0"/>
          <w:sz w:val="32"/>
          <w:szCs w:val="32"/>
        </w:rPr>
        <w:t>全面落实乙类乙管政策要求</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全市核酸检测基地建设，</w:t>
      </w:r>
      <w:r>
        <w:rPr>
          <w:rFonts w:hint="eastAsia" w:ascii="仿宋_GB2312" w:hAnsi="宋体" w:eastAsia="仿宋_GB2312" w:cs="宋体"/>
          <w:color w:val="000000"/>
          <w:kern w:val="0"/>
          <w:sz w:val="32"/>
          <w:szCs w:val="32"/>
          <w:lang w:eastAsia="zh-CN"/>
        </w:rPr>
        <w:t>公共卫生中心能力提升</w:t>
      </w:r>
      <w:r>
        <w:rPr>
          <w:rFonts w:hint="eastAsia" w:ascii="仿宋_GB2312" w:hAnsi="宋体" w:eastAsia="仿宋_GB2312" w:cs="宋体"/>
          <w:color w:val="000000"/>
          <w:kern w:val="0"/>
          <w:sz w:val="32"/>
          <w:szCs w:val="32"/>
        </w:rPr>
        <w:t>等工作持续开展。</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项目年初预算财政补助资金</w:t>
      </w:r>
      <w:r>
        <w:rPr>
          <w:rFonts w:hint="eastAsia" w:ascii="仿宋_GB2312" w:hAnsi="宋体" w:eastAsia="仿宋_GB2312" w:cs="宋体"/>
          <w:color w:val="000000"/>
          <w:kern w:val="0"/>
          <w:sz w:val="32"/>
          <w:szCs w:val="32"/>
          <w:lang w:val="en-US" w:eastAsia="zh-CN"/>
        </w:rPr>
        <w:t>3500万元，年末市级支出3492.14万元，主要用于</w:t>
      </w:r>
      <w:r>
        <w:rPr>
          <w:rFonts w:hint="eastAsia" w:ascii="Times New Roman" w:hAnsi="Times New Roman" w:eastAsia="方正仿宋_GBK" w:cs="Times New Roman"/>
          <w:sz w:val="32"/>
          <w:szCs w:val="32"/>
          <w:lang w:val="en-US" w:eastAsia="zh-CN"/>
        </w:rPr>
        <w:t>市属医疗机构核酸检测基地建设、鼓楼医院、儿童医院前期闭环管理费用、市第二医院CT购置等。</w:t>
      </w:r>
      <w:r>
        <w:rPr>
          <w:rFonts w:hint="eastAsia" w:ascii="仿宋_GB2312" w:hAnsi="宋体" w:eastAsia="仿宋_GB2312" w:cs="宋体"/>
          <w:color w:val="000000"/>
          <w:kern w:val="0"/>
          <w:sz w:val="32"/>
          <w:szCs w:val="32"/>
          <w:lang w:val="en-US" w:eastAsia="zh-CN"/>
        </w:rPr>
        <w:t>执行率99.78%。</w:t>
      </w:r>
    </w:p>
    <w:p>
      <w:pPr>
        <w:widowControl/>
        <w:spacing w:line="560" w:lineRule="exact"/>
        <w:ind w:firstLine="640" w:firstLineChars="200"/>
        <w:jc w:val="left"/>
        <w:rPr>
          <w:rFonts w:ascii="仿宋_GB2312" w:hAnsi="宋体" w:eastAsia="仿宋_GB2312" w:cs="宋体"/>
          <w:kern w:val="0"/>
          <w:sz w:val="24"/>
          <w:szCs w:val="24"/>
        </w:rPr>
      </w:pPr>
      <w:r>
        <w:rPr>
          <w:rFonts w:hint="eastAsia" w:ascii="仿宋_GB2312" w:hAnsi="宋体" w:eastAsia="仿宋_GB2312" w:cs="宋体"/>
          <w:color w:val="000000"/>
          <w:kern w:val="0"/>
          <w:sz w:val="32"/>
          <w:szCs w:val="32"/>
        </w:rPr>
        <w:t>（三）绩效目标</w:t>
      </w:r>
    </w:p>
    <w:p>
      <w:pPr>
        <w:widowControl/>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绩效总目标</w:t>
      </w:r>
      <w:r>
        <w:rPr>
          <w:rFonts w:hint="eastAsia" w:ascii="仿宋_GB2312" w:hAnsi="宋体" w:eastAsia="仿宋_GB2312" w:cs="宋体"/>
          <w:color w:val="000000"/>
          <w:kern w:val="0"/>
          <w:sz w:val="32"/>
          <w:szCs w:val="32"/>
          <w:lang w:eastAsia="zh-CN"/>
        </w:rPr>
        <w:t>：新冠疫情防控常态化保障有序。</w:t>
      </w:r>
    </w:p>
    <w:p>
      <w:pPr>
        <w:widowControl/>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年度目标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一体理解、完整落实第九版疫情防控方案、二十条优化措施和新“十条”，平稳有序实施“乙类乙管”，不断调整优化防控措施。围绕“保健康、防重症”，进一步加强医疗救治能力建设管理，最大程度保护人民群众生命安全和身体健康。</w:t>
      </w:r>
    </w:p>
    <w:p>
      <w:pPr>
        <w:widowControl/>
        <w:spacing w:line="560" w:lineRule="exact"/>
        <w:ind w:firstLine="640" w:firstLineChars="200"/>
        <w:jc w:val="left"/>
        <w:rPr>
          <w:rFonts w:ascii="黑体" w:hAnsi="黑体" w:eastAsia="黑体" w:cs="宋体"/>
          <w:kern w:val="0"/>
          <w:sz w:val="24"/>
          <w:szCs w:val="24"/>
        </w:rPr>
      </w:pPr>
      <w:r>
        <w:rPr>
          <w:rFonts w:hint="eastAsia" w:ascii="黑体" w:hAnsi="黑体" w:eastAsia="黑体" w:cs="宋体"/>
          <w:color w:val="000000"/>
          <w:kern w:val="0"/>
          <w:sz w:val="32"/>
          <w:szCs w:val="32"/>
        </w:rPr>
        <w:t>二、评价结论</w:t>
      </w:r>
    </w:p>
    <w:p>
      <w:pPr>
        <w:widowControl/>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评价的对象</w:t>
      </w:r>
      <w:r>
        <w:rPr>
          <w:rFonts w:hint="eastAsia" w:ascii="仿宋_GB2312" w:hAnsi="宋体" w:eastAsia="仿宋_GB2312" w:cs="宋体"/>
          <w:color w:val="000000"/>
          <w:kern w:val="0"/>
          <w:sz w:val="32"/>
          <w:szCs w:val="32"/>
          <w:lang w:eastAsia="zh-CN"/>
        </w:rPr>
        <w:t>：负责项目实施的医疗、公共卫生机构。</w:t>
      </w:r>
    </w:p>
    <w:p>
      <w:pPr>
        <w:widowControl/>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评价</w:t>
      </w:r>
      <w:r>
        <w:rPr>
          <w:rFonts w:hint="eastAsia" w:ascii="仿宋_GB2312" w:hAnsi="宋体" w:eastAsia="仿宋_GB2312" w:cs="宋体"/>
          <w:color w:val="000000"/>
          <w:kern w:val="0"/>
          <w:sz w:val="32"/>
          <w:szCs w:val="32"/>
        </w:rPr>
        <w:t>范围</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sz w:val="32"/>
          <w:szCs w:val="32"/>
        </w:rPr>
        <w:t>主要对项目的</w:t>
      </w:r>
      <w:r>
        <w:rPr>
          <w:rFonts w:hint="eastAsia" w:ascii="仿宋_GB2312" w:hAnsi="仿宋_GB2312" w:eastAsia="仿宋_GB2312" w:cs="仿宋_GB2312"/>
          <w:sz w:val="32"/>
          <w:szCs w:val="32"/>
          <w:lang w:eastAsia="zh-CN"/>
        </w:rPr>
        <w:t>决策、过程、产出、效益</w:t>
      </w:r>
      <w:r>
        <w:rPr>
          <w:rFonts w:hint="eastAsia" w:ascii="仿宋_GB2312" w:hAnsi="仿宋_GB2312" w:eastAsia="仿宋_GB2312" w:cs="仿宋_GB2312"/>
          <w:sz w:val="32"/>
          <w:szCs w:val="32"/>
        </w:rPr>
        <w:t>四类指标进行绩效评价</w:t>
      </w:r>
      <w:r>
        <w:rPr>
          <w:rFonts w:hint="eastAsia" w:ascii="仿宋_GB2312" w:hAnsi="仿宋_GB2312" w:eastAsia="仿宋_GB2312" w:cs="仿宋_GB2312"/>
          <w:sz w:val="32"/>
          <w:szCs w:val="32"/>
          <w:lang w:eastAsia="zh-CN"/>
        </w:rPr>
        <w:t>。</w:t>
      </w:r>
    </w:p>
    <w:p>
      <w:pPr>
        <w:widowControl/>
        <w:spacing w:line="560" w:lineRule="exact"/>
        <w:ind w:firstLine="640" w:firstLineChars="200"/>
        <w:jc w:val="left"/>
        <w:rPr>
          <w:rFonts w:hint="eastAsia" w:ascii="Times New Roman" w:hAnsi="Times New Roman" w:eastAsia="方正仿宋_GBK" w:cs="Times New Roman"/>
          <w:sz w:val="32"/>
          <w:szCs w:val="32"/>
          <w:lang w:val="en-US" w:eastAsia="zh-CN"/>
        </w:rPr>
      </w:pPr>
      <w:r>
        <w:rPr>
          <w:rFonts w:hint="eastAsia" w:ascii="仿宋_GB2312" w:hAnsi="宋体" w:eastAsia="仿宋_GB2312" w:cs="宋体"/>
          <w:color w:val="000000"/>
          <w:kern w:val="0"/>
          <w:sz w:val="32"/>
          <w:szCs w:val="32"/>
        </w:rPr>
        <w:t>评价结论</w:t>
      </w:r>
      <w:r>
        <w:rPr>
          <w:rFonts w:hint="eastAsia" w:ascii="仿宋_GB2312" w:hAnsi="宋体" w:eastAsia="仿宋_GB2312" w:cs="宋体"/>
          <w:color w:val="000000"/>
          <w:kern w:val="0"/>
          <w:sz w:val="32"/>
          <w:szCs w:val="32"/>
          <w:lang w:eastAsia="zh-CN"/>
        </w:rPr>
        <w:t>：该</w:t>
      </w:r>
      <w:r>
        <w:rPr>
          <w:rFonts w:hint="eastAsia" w:ascii="Times New Roman" w:hAnsi="Times New Roman" w:eastAsia="方正仿宋_GBK" w:cs="Times New Roman"/>
          <w:sz w:val="32"/>
          <w:szCs w:val="32"/>
          <w:lang w:val="en-US" w:eastAsia="zh-CN"/>
        </w:rPr>
        <w:t>项目的实施保障了市属医疗机构核酸检测基地建设工作；确保医务人员及时得到在疫情防控工作中的临时性工作补助；对鼓楼医院、儿童医院前期闭环管理费用结算到位；通过市第二医院CT购置补助提升其救治能力。为</w:t>
      </w:r>
      <w:r>
        <w:rPr>
          <w:rFonts w:hint="default" w:ascii="Times New Roman" w:hAnsi="Times New Roman" w:eastAsia="方正仿宋_GBK" w:cs="Times New Roman"/>
          <w:sz w:val="32"/>
          <w:szCs w:val="32"/>
          <w:lang w:val="en-US" w:eastAsia="zh-CN"/>
        </w:rPr>
        <w:t>新阶段疫情防控工作</w:t>
      </w:r>
      <w:r>
        <w:rPr>
          <w:rFonts w:hint="eastAsia" w:ascii="Times New Roman" w:hAnsi="Times New Roman" w:eastAsia="方正仿宋_GBK" w:cs="Times New Roman"/>
          <w:sz w:val="32"/>
          <w:szCs w:val="32"/>
          <w:lang w:val="en-US" w:eastAsia="zh-CN"/>
        </w:rPr>
        <w:t>打好基础。</w:t>
      </w:r>
    </w:p>
    <w:p>
      <w:pPr>
        <w:widowControl/>
        <w:spacing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评分结果</w:t>
      </w:r>
      <w:r>
        <w:rPr>
          <w:rFonts w:hint="eastAsia" w:ascii="仿宋_GB2312" w:hAnsi="宋体" w:eastAsia="仿宋_GB2312" w:cs="宋体"/>
          <w:color w:val="auto"/>
          <w:kern w:val="0"/>
          <w:sz w:val="32"/>
          <w:szCs w:val="32"/>
          <w:lang w:eastAsia="zh-CN"/>
        </w:rPr>
        <w:t>：</w:t>
      </w:r>
      <w:r>
        <w:rPr>
          <w:rFonts w:hint="eastAsia" w:ascii="仿宋_GB2312" w:hAnsi="仿宋_GB2312" w:eastAsia="仿宋_GB2312" w:cs="仿宋_GB2312"/>
          <w:b w:val="0"/>
          <w:bCs w:val="0"/>
          <w:color w:val="auto"/>
          <w:sz w:val="32"/>
          <w:szCs w:val="32"/>
          <w:lang w:val="en-US" w:eastAsia="zh-CN"/>
        </w:rPr>
        <w:t>自评得分99.19分，等级“优”（详情见附件）</w:t>
      </w:r>
    </w:p>
    <w:p>
      <w:pPr>
        <w:widowControl/>
        <w:numPr>
          <w:ilvl w:val="0"/>
          <w:numId w:val="1"/>
        </w:numPr>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项目成效</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新阶段疫情防控工作毫不放松，顺利完成各项工作任务。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一是强化新冠疫情监测预警。常态化开展13项监测，共报告新冠病毒感染近5万例，规范处置新变异株疫情112起、聚集性疫情10起。</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二是统筹患者医疗救治。全市239家医疗机构发热门诊（诊室）应开尽开，累计接诊新冠病毒核酸或抗原阳性患者22328人次。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三是做实新冠重点人群健康服务。推动老年人等重点群体接种新冠病毒疫苗，累计接种967.9万人。开展重点人群分级分类管理，全市录入省重点人群健康状况管理系统的65岁以上老人总数达120.9万。</w:t>
      </w:r>
    </w:p>
    <w:p>
      <w:pPr>
        <w:widowControl/>
        <w:numPr>
          <w:ilvl w:val="0"/>
          <w:numId w:val="1"/>
        </w:numPr>
        <w:spacing w:line="560" w:lineRule="exact"/>
        <w:ind w:left="0" w:leftChars="0"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存在问题及原因分析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2023年度资金预算编制的科学性欠佳。主要因为随着23年初乙类乙管政策的落实，疫情常态化防控工作的资金的使用需求发生变化，导致实际执行的内容和预算编制时的测算略有偏差。</w:t>
      </w:r>
    </w:p>
    <w:p>
      <w:pPr>
        <w:numPr>
          <w:ilvl w:val="0"/>
          <w:numId w:val="1"/>
        </w:numPr>
        <w:spacing w:line="560" w:lineRule="exact"/>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市卫健委根据实际工作需求，与财政部门共同研究该项目是否继续保留，合理编制项目年度预算。</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六、评价工作开展情况及其他需说明的情况</w:t>
      </w:r>
    </w:p>
    <w:p>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（一）评价基本情况</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自评价目的是通过开展专项资金绩效自评价，进一步规范专项资金管理，强化绩效和责任意识，切实提高资金使用效益；评价遵循科学规范、客观公正和实事求是三项原则，主要采用综合评价法进行评价。</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绩效评价指标体系由决策、过程、产出和效益四部分组成。此四部分指标进一步细分为一级指标4个，二级指标</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个和三级指标</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个。</w:t>
      </w:r>
    </w:p>
    <w:p>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（二）评价实施情况</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本次自评价包括调研沟通、收集</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资料、确定指标体系、明确绩效评价方法、形成评价方案、现场考评、对照体系打分、撰写评价报告等八个步骤。</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指标体系优先选取最具代表性、最能直接反映产出、效益的核心指标，精简实用。指标的权重根据各项指标在评价体系中的重要程度确定，突出结果导向，产出、效益类指标合计达到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仿宋_GB2312" w:hAnsi="FZHTK--GBK1-0" w:eastAsia="仿宋_GB2312" w:cs="宋体"/>
          <w:color w:val="000000"/>
          <w:kern w:val="0"/>
          <w:sz w:val="32"/>
          <w:szCs w:val="32"/>
        </w:rPr>
      </w:pPr>
      <w:r>
        <w:rPr>
          <w:rFonts w:hint="eastAsia" w:ascii="仿宋_GB2312" w:hAnsi="仿宋_GB2312" w:eastAsia="仿宋_GB2312" w:cs="仿宋_GB2312"/>
          <w:sz w:val="32"/>
          <w:szCs w:val="32"/>
        </w:rPr>
        <w:t>通过对照指标体系组织考评，逐条分析打分并形成初步结论。绩效评价结果实施百分制和四级分类：90（含）-100分为优、80（含）-90分为良、60（含）-80分为中、60分以下为差。</w:t>
      </w:r>
    </w:p>
    <w:p>
      <w:pPr>
        <w:spacing w:line="560" w:lineRule="exact"/>
        <w:ind w:firstLine="640" w:firstLineChars="200"/>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附件：指标体系得分情况</w:t>
      </w:r>
    </w:p>
    <w:p>
      <w:pPr>
        <w:widowControl/>
        <w:spacing w:line="560" w:lineRule="exact"/>
        <w:jc w:val="left"/>
        <w:rPr>
          <w:rFonts w:hint="eastAsia" w:ascii="仿宋_GB2312" w:hAnsi="FZHTK--GBK1-0" w:eastAsia="仿宋_GB2312" w:cs="宋体"/>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FZHTK--GBK1-0" w:eastAsia="仿宋_GB2312" w:cs="宋体"/>
          <w:color w:val="000000"/>
          <w:kern w:val="0"/>
          <w:sz w:val="32"/>
          <w:szCs w:val="32"/>
        </w:rPr>
        <w:br w:type="page"/>
      </w:r>
    </w:p>
    <w:p>
      <w:pPr>
        <w:widowControl/>
        <w:spacing w:line="560" w:lineRule="exact"/>
        <w:jc w:val="left"/>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附件：</w:t>
      </w:r>
    </w:p>
    <w:p>
      <w:pPr>
        <w:widowControl/>
        <w:spacing w:line="560" w:lineRule="exact"/>
        <w:jc w:val="center"/>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指标体系得分情况</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4"/>
        <w:gridCol w:w="1578"/>
        <w:gridCol w:w="1243"/>
        <w:gridCol w:w="1604"/>
        <w:gridCol w:w="752"/>
        <w:gridCol w:w="1037"/>
        <w:gridCol w:w="572"/>
        <w:gridCol w:w="739"/>
        <w:gridCol w:w="6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序号</w:t>
            </w: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一级指标</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三级指标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年初计划值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实际完成值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分值</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得分</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bdr w:val="none" w:color="auto" w:sz="0" w:space="0"/>
                <w:lang w:val="en-US" w:eastAsia="zh-CN" w:bidi="ar"/>
              </w:rPr>
              <w:t>评价要点及评分规则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Segoe UI" w:hAnsi="Segoe UI" w:eastAsia="Segoe UI" w:cs="Segoe UI"/>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99.19</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w:t>
            </w:r>
          </w:p>
        </w:tc>
        <w:tc>
          <w:tcPr>
            <w:tcW w:w="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决策(12)</w:t>
            </w: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项目立项(4)</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立项依据充分性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充分</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①项目立项是否符合国家法律法规、国民经济发展规划和相关政策； ②项目立项是否符合行业发展规划和政策要求； ③项目立项是否与部门职责范围相符，属于部门履职所需； ④项目是否属于公共财政支持范围，是否符合中央、地方事权支出责任划分原则； ⑤项目是否与相关部门同类项目或部门内部相关项目重复。 评分规则：以上评价要点各占20%权重，每个要点执行情况分达成、部分达成、未达成三档，按100%-80%（含）、80%-60%（含）、60%-0%评分。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立项程序规范性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规范</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①项目是否按照规定的程序申请设立； ②审批文件、材料是否符合相关要求； ③事前是否已经过必要的可行性研究、专家论证、风险评估、绩效评估、集体决策。 评分规则：以上评价要点各占1/3权重，每个要点执行情况分达成、部分达成、未达成三档，按100%-80%（含）、80%-60%（含）、60%-0%评分。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3</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绩效目标(4)</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绩效目标合理性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合理</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（如未设定预算绩效目标，也可考核其他工作任务目标） ①项目是否有绩效目标； ②项目绩效目标与实际工作内容是否具有相关性； ③项目预期产出效益和效果是否符合正常的业绩水平； ④是否与预算确定的项目投资额或资金量相匹配。 评分规则：以上评价要点各占25%权重，每个要点执行情况分达成、部分达成、未达成三档，按100%-80%（含）、80%-60%（含）、60%-0%评分。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4</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绩效指标明确性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明确</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bdr w:val="none" w:color="auto" w:sz="0" w:space="0"/>
                <w:lang w:val="en-US" w:eastAsia="zh-CN" w:bidi="ar"/>
              </w:rPr>
              <w:t>评价要点：</w:t>
            </w:r>
            <w:r>
              <w:rPr>
                <w:rStyle w:val="10"/>
                <w:bdr w:val="none" w:color="auto" w:sz="0" w:space="0"/>
                <w:lang w:val="en-US" w:eastAsia="zh-CN" w:bidi="ar"/>
              </w:rPr>
              <w:t xml:space="preserve"> </w:t>
            </w:r>
            <w:r>
              <w:rPr>
                <w:rStyle w:val="9"/>
                <w:bdr w:val="none" w:color="auto" w:sz="0" w:space="0"/>
                <w:lang w:val="en-US" w:eastAsia="zh-CN" w:bidi="ar"/>
              </w:rPr>
              <w:t>①是否将项目绩效目标细化分解为具体的绩效指标；</w:t>
            </w:r>
            <w:r>
              <w:rPr>
                <w:rStyle w:val="10"/>
                <w:bdr w:val="none" w:color="auto" w:sz="0" w:space="0"/>
                <w:lang w:val="en-US" w:eastAsia="zh-CN" w:bidi="ar"/>
              </w:rPr>
              <w:t xml:space="preserve"> </w:t>
            </w:r>
            <w:r>
              <w:rPr>
                <w:rStyle w:val="9"/>
                <w:bdr w:val="none" w:color="auto" w:sz="0" w:space="0"/>
                <w:lang w:val="en-US" w:eastAsia="zh-CN" w:bidi="ar"/>
              </w:rPr>
              <w:t>②是否通过清晰、可衡量的指标值予以体现；</w:t>
            </w:r>
            <w:r>
              <w:rPr>
                <w:rStyle w:val="10"/>
                <w:bdr w:val="none" w:color="auto" w:sz="0" w:space="0"/>
                <w:lang w:val="en-US" w:eastAsia="zh-CN" w:bidi="ar"/>
              </w:rPr>
              <w:t xml:space="preserve"> </w:t>
            </w:r>
            <w:r>
              <w:rPr>
                <w:rStyle w:val="9"/>
                <w:bdr w:val="none" w:color="auto" w:sz="0" w:space="0"/>
                <w:lang w:val="en-US" w:eastAsia="zh-CN" w:bidi="ar"/>
              </w:rPr>
              <w:t>③是否与项目目标任务数或计划数相对应。</w:t>
            </w:r>
            <w:r>
              <w:rPr>
                <w:rStyle w:val="10"/>
                <w:bdr w:val="none" w:color="auto" w:sz="0" w:space="0"/>
                <w:lang w:val="en-US" w:eastAsia="zh-CN" w:bidi="ar"/>
              </w:rPr>
              <w:t xml:space="preserve"> </w:t>
            </w:r>
            <w:r>
              <w:rPr>
                <w:rStyle w:val="9"/>
                <w:bdr w:val="none" w:color="auto" w:sz="0" w:space="0"/>
                <w:lang w:val="en-US" w:eastAsia="zh-CN" w:bidi="ar"/>
              </w:rPr>
              <w:t>评分规则：以上评价要点各占</w:t>
            </w:r>
            <w:r>
              <w:rPr>
                <w:rStyle w:val="10"/>
                <w:bdr w:val="none" w:color="auto" w:sz="0" w:space="0"/>
                <w:lang w:val="en-US" w:eastAsia="zh-CN" w:bidi="ar"/>
              </w:rPr>
              <w:t>1/3</w:t>
            </w:r>
            <w:r>
              <w:rPr>
                <w:rStyle w:val="9"/>
                <w:bdr w:val="none" w:color="auto" w:sz="0" w:space="0"/>
                <w:lang w:val="en-US" w:eastAsia="zh-CN" w:bidi="ar"/>
              </w:rPr>
              <w:t>权重，每个要点执行情况分达成、部分达成、未达成三档，按</w:t>
            </w:r>
            <w:r>
              <w:rPr>
                <w:rStyle w:val="10"/>
                <w:bdr w:val="none" w:color="auto" w:sz="0" w:space="0"/>
                <w:lang w:val="en-US" w:eastAsia="zh-CN" w:bidi="ar"/>
              </w:rPr>
              <w:t>100%-80%</w:t>
            </w:r>
            <w:r>
              <w:rPr>
                <w:rStyle w:val="9"/>
                <w:bdr w:val="none" w:color="auto" w:sz="0" w:space="0"/>
                <w:lang w:val="en-US" w:eastAsia="zh-CN" w:bidi="ar"/>
              </w:rPr>
              <w:t>（含）、</w:t>
            </w:r>
            <w:r>
              <w:rPr>
                <w:rStyle w:val="10"/>
                <w:bdr w:val="none" w:color="auto" w:sz="0" w:space="0"/>
                <w:lang w:val="en-US" w:eastAsia="zh-CN" w:bidi="ar"/>
              </w:rPr>
              <w:t>80%-60%</w:t>
            </w:r>
            <w:r>
              <w:rPr>
                <w:rStyle w:val="9"/>
                <w:bdr w:val="none" w:color="auto" w:sz="0" w:space="0"/>
                <w:lang w:val="en-US" w:eastAsia="zh-CN" w:bidi="ar"/>
              </w:rPr>
              <w:t>（含）、</w:t>
            </w:r>
            <w:r>
              <w:rPr>
                <w:rStyle w:val="10"/>
                <w:bdr w:val="none" w:color="auto" w:sz="0" w:space="0"/>
                <w:lang w:val="en-US" w:eastAsia="zh-CN" w:bidi="ar"/>
              </w:rPr>
              <w:t>60%-0%</w:t>
            </w:r>
            <w:r>
              <w:rPr>
                <w:rStyle w:val="9"/>
                <w:bdr w:val="none" w:color="auto" w:sz="0" w:space="0"/>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5</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资金投入(4)</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预算编制科学性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科学</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部分达成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①预算编制是否经过科学论证； ②预算内容与项目内容是否匹配； ③预算额度测算依据是否充分，是否按照标准编制； ④预算确定的项目投资额或资金量是否与工作任务相匹配。 评分规则：以上评价要点各占25%权重，每个要点执行情况分达成、部分达成、未达成三档，按100%-80%（含）、80%-60%（含）、60%-0%评分。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6</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资金分配合理性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合理</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①预算资金分配依据是否充分； ②资金分配额度是否合理，与项目单位或地方实际是否相适应。 评分规则：以上评价要点各占50%权重，每个要点执行情况分达成、部分达成、未达成三档，按100%-80%（含）、80%-60%（含）、60%-0%评分。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7</w:t>
            </w:r>
          </w:p>
        </w:tc>
        <w:tc>
          <w:tcPr>
            <w:tcW w:w="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过程(18)</w:t>
            </w: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资金管理(10)</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资金到位率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3</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资金到位率=（实际到位资金/预算资金）×100%。 实际到位资金：一定时期（本年度或项目期）内落实到具体项目的资金。 预算资金：一定时期（本年度或项目期）内预算安排到具体项目的资金。 评分规则：得分=资金到位率×分值。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8</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99.78%</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2.99</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预算执行率=（实际支出资金/实际到位资金）×100%。 实际支出资金：一定时期（本年度或项目期）内项目实际拨付的资金。 评分规则：得分=资金到位率×分值。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9</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资金使用合规性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合规</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4</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4</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评价要点： ①是否符合国家财经法规和财务管理制度以及有关专项资金管理办法的规定； ②资金的拨付是否有完整的审批程序和手续； ③是否符合项目预算批复或合同规定的用途； ④是否存在截留、挤占、挪用、虚列支出等情况。 评分规则：以上评价要点各占25%权重，每个要点执行情况分达成、部分达成、未达成三档，按100%-80%（含）、80%-60%（含）、60%-0%评分。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组织实施(8)</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管理制度健全性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健全</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bdr w:val="none" w:color="auto" w:sz="0" w:space="0"/>
                <w:lang w:val="en-US" w:eastAsia="zh-CN" w:bidi="ar"/>
              </w:rPr>
              <w:t>评价要点：</w:t>
            </w:r>
            <w:r>
              <w:rPr>
                <w:rStyle w:val="10"/>
                <w:bdr w:val="none" w:color="auto" w:sz="0" w:space="0"/>
                <w:lang w:val="en-US" w:eastAsia="zh-CN" w:bidi="ar"/>
              </w:rPr>
              <w:t xml:space="preserve"> </w:t>
            </w:r>
            <w:r>
              <w:rPr>
                <w:rStyle w:val="9"/>
                <w:bdr w:val="none" w:color="auto" w:sz="0" w:space="0"/>
                <w:lang w:val="en-US" w:eastAsia="zh-CN" w:bidi="ar"/>
              </w:rPr>
              <w:t>①是否已制定或具有相应的财务和业务管理等制度；</w:t>
            </w:r>
            <w:r>
              <w:rPr>
                <w:rStyle w:val="10"/>
                <w:bdr w:val="none" w:color="auto" w:sz="0" w:space="0"/>
                <w:lang w:val="en-US" w:eastAsia="zh-CN" w:bidi="ar"/>
              </w:rPr>
              <w:t xml:space="preserve"> </w:t>
            </w:r>
            <w:r>
              <w:rPr>
                <w:rStyle w:val="9"/>
                <w:bdr w:val="none" w:color="auto" w:sz="0" w:space="0"/>
                <w:lang w:val="en-US" w:eastAsia="zh-CN" w:bidi="ar"/>
              </w:rPr>
              <w:t>②财务和业务管理等制度是否合法、合规、完整。</w:t>
            </w:r>
            <w:r>
              <w:rPr>
                <w:rStyle w:val="10"/>
                <w:bdr w:val="none" w:color="auto" w:sz="0" w:space="0"/>
                <w:lang w:val="en-US" w:eastAsia="zh-CN" w:bidi="ar"/>
              </w:rPr>
              <w:t xml:space="preserve"> </w:t>
            </w:r>
            <w:r>
              <w:rPr>
                <w:rStyle w:val="9"/>
                <w:bdr w:val="none" w:color="auto" w:sz="0" w:space="0"/>
                <w:lang w:val="en-US" w:eastAsia="zh-CN" w:bidi="ar"/>
              </w:rPr>
              <w:t>评分规则：以上评价要点各占</w:t>
            </w:r>
            <w:r>
              <w:rPr>
                <w:rStyle w:val="10"/>
                <w:bdr w:val="none" w:color="auto" w:sz="0" w:space="0"/>
                <w:lang w:val="en-US" w:eastAsia="zh-CN" w:bidi="ar"/>
              </w:rPr>
              <w:t>50%</w:t>
            </w:r>
            <w:r>
              <w:rPr>
                <w:rStyle w:val="9"/>
                <w:bdr w:val="none" w:color="auto" w:sz="0" w:space="0"/>
                <w:lang w:val="en-US" w:eastAsia="zh-CN" w:bidi="ar"/>
              </w:rPr>
              <w:t>权重，每个要点执行情况分达成、部分达成、未达成三档，按</w:t>
            </w:r>
            <w:r>
              <w:rPr>
                <w:rStyle w:val="10"/>
                <w:bdr w:val="none" w:color="auto" w:sz="0" w:space="0"/>
                <w:lang w:val="en-US" w:eastAsia="zh-CN" w:bidi="ar"/>
              </w:rPr>
              <w:t>100%-80%</w:t>
            </w:r>
            <w:r>
              <w:rPr>
                <w:rStyle w:val="9"/>
                <w:bdr w:val="none" w:color="auto" w:sz="0" w:space="0"/>
                <w:lang w:val="en-US" w:eastAsia="zh-CN" w:bidi="ar"/>
              </w:rPr>
              <w:t>（含）、</w:t>
            </w:r>
            <w:r>
              <w:rPr>
                <w:rStyle w:val="10"/>
                <w:bdr w:val="none" w:color="auto" w:sz="0" w:space="0"/>
                <w:lang w:val="en-US" w:eastAsia="zh-CN" w:bidi="ar"/>
              </w:rPr>
              <w:t>80%-60%</w:t>
            </w:r>
            <w:r>
              <w:rPr>
                <w:rStyle w:val="9"/>
                <w:bdr w:val="none" w:color="auto" w:sz="0" w:space="0"/>
                <w:lang w:val="en-US" w:eastAsia="zh-CN" w:bidi="ar"/>
              </w:rPr>
              <w:t>（含）、</w:t>
            </w:r>
            <w:r>
              <w:rPr>
                <w:rStyle w:val="10"/>
                <w:bdr w:val="none" w:color="auto" w:sz="0" w:space="0"/>
                <w:lang w:val="en-US" w:eastAsia="zh-CN" w:bidi="ar"/>
              </w:rPr>
              <w:t>60%-0%</w:t>
            </w:r>
            <w:r>
              <w:rPr>
                <w:rStyle w:val="9"/>
                <w:bdr w:val="none" w:color="auto" w:sz="0" w:space="0"/>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11</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制度执行有效性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有效</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6</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6</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评价要点：</w:t>
            </w:r>
            <w:r>
              <w:rPr>
                <w:rStyle w:val="10"/>
                <w:bdr w:val="none" w:color="auto" w:sz="0" w:space="0"/>
                <w:lang w:val="en-US" w:eastAsia="zh-CN" w:bidi="ar"/>
              </w:rPr>
              <w:t xml:space="preserve"> </w:t>
            </w:r>
            <w:r>
              <w:rPr>
                <w:rStyle w:val="9"/>
                <w:bdr w:val="none" w:color="auto" w:sz="0" w:space="0"/>
                <w:lang w:val="en-US" w:eastAsia="zh-CN" w:bidi="ar"/>
              </w:rPr>
              <w:t>①项目是否制定合理的实施计划，实施过程中是否遵守相关法律法规和相关管理规定，并按照规定程序实施项目，进度是否符合计划；</w:t>
            </w:r>
            <w:r>
              <w:rPr>
                <w:rStyle w:val="10"/>
                <w:bdr w:val="none" w:color="auto" w:sz="0" w:space="0"/>
                <w:lang w:val="en-US" w:eastAsia="zh-CN" w:bidi="ar"/>
              </w:rPr>
              <w:t xml:space="preserve"> </w:t>
            </w:r>
            <w:r>
              <w:rPr>
                <w:rStyle w:val="9"/>
                <w:bdr w:val="none" w:color="auto" w:sz="0" w:space="0"/>
                <w:lang w:val="en-US" w:eastAsia="zh-CN" w:bidi="ar"/>
              </w:rPr>
              <w:t>②项目调整及支出调整手续是否完备，资产管理是否规范，是否开展监督检查、绩效监控和评价；</w:t>
            </w:r>
            <w:r>
              <w:rPr>
                <w:rStyle w:val="10"/>
                <w:bdr w:val="none" w:color="auto" w:sz="0" w:space="0"/>
                <w:lang w:val="en-US" w:eastAsia="zh-CN" w:bidi="ar"/>
              </w:rPr>
              <w:t xml:space="preserve"> </w:t>
            </w:r>
            <w:r>
              <w:rPr>
                <w:rStyle w:val="9"/>
                <w:bdr w:val="none" w:color="auto" w:sz="0" w:space="0"/>
                <w:lang w:val="en-US" w:eastAsia="zh-CN" w:bidi="ar"/>
              </w:rPr>
              <w:t>③项目合同书、验收报告、技术鉴定、监督检查、绩效管理等资料是否齐全并及时归档；</w:t>
            </w:r>
            <w:r>
              <w:rPr>
                <w:rStyle w:val="10"/>
                <w:bdr w:val="none" w:color="auto" w:sz="0" w:space="0"/>
                <w:lang w:val="en-US" w:eastAsia="zh-CN" w:bidi="ar"/>
              </w:rPr>
              <w:t xml:space="preserve"> </w:t>
            </w:r>
            <w:r>
              <w:rPr>
                <w:rStyle w:val="9"/>
                <w:bdr w:val="none" w:color="auto" w:sz="0" w:space="0"/>
                <w:lang w:val="en-US" w:eastAsia="zh-CN" w:bidi="ar"/>
              </w:rPr>
              <w:t>④项目实施的组织机构、人员条件、场地设备、信息支撑等是否落实到位；</w:t>
            </w:r>
            <w:r>
              <w:rPr>
                <w:rStyle w:val="10"/>
                <w:bdr w:val="none" w:color="auto" w:sz="0" w:space="0"/>
                <w:lang w:val="en-US" w:eastAsia="zh-CN" w:bidi="ar"/>
              </w:rPr>
              <w:t xml:space="preserve"> </w:t>
            </w:r>
            <w:r>
              <w:rPr>
                <w:rStyle w:val="9"/>
                <w:bdr w:val="none" w:color="auto" w:sz="0" w:space="0"/>
                <w:lang w:val="en-US" w:eastAsia="zh-CN" w:bidi="ar"/>
              </w:rPr>
              <w:t>评分规则：以上评价要点各占</w:t>
            </w:r>
            <w:r>
              <w:rPr>
                <w:rStyle w:val="10"/>
                <w:bdr w:val="none" w:color="auto" w:sz="0" w:space="0"/>
                <w:lang w:val="en-US" w:eastAsia="zh-CN" w:bidi="ar"/>
              </w:rPr>
              <w:t>25%</w:t>
            </w:r>
            <w:r>
              <w:rPr>
                <w:rStyle w:val="9"/>
                <w:bdr w:val="none" w:color="auto" w:sz="0" w:space="0"/>
                <w:lang w:val="en-US" w:eastAsia="zh-CN" w:bidi="ar"/>
              </w:rPr>
              <w:t>权重，每个要点执行情况分达成、部分达成、未达成三档，按</w:t>
            </w:r>
            <w:r>
              <w:rPr>
                <w:rStyle w:val="10"/>
                <w:bdr w:val="none" w:color="auto" w:sz="0" w:space="0"/>
                <w:lang w:val="en-US" w:eastAsia="zh-CN" w:bidi="ar"/>
              </w:rPr>
              <w:t>100%-80%</w:t>
            </w:r>
            <w:r>
              <w:rPr>
                <w:rStyle w:val="9"/>
                <w:bdr w:val="none" w:color="auto" w:sz="0" w:space="0"/>
                <w:lang w:val="en-US" w:eastAsia="zh-CN" w:bidi="ar"/>
              </w:rPr>
              <w:t>（含）、</w:t>
            </w:r>
            <w:r>
              <w:rPr>
                <w:rStyle w:val="10"/>
                <w:bdr w:val="none" w:color="auto" w:sz="0" w:space="0"/>
                <w:lang w:val="en-US" w:eastAsia="zh-CN" w:bidi="ar"/>
              </w:rPr>
              <w:t>80%-60%</w:t>
            </w:r>
            <w:r>
              <w:rPr>
                <w:rStyle w:val="9"/>
                <w:bdr w:val="none" w:color="auto" w:sz="0" w:space="0"/>
                <w:lang w:val="en-US" w:eastAsia="zh-CN" w:bidi="ar"/>
              </w:rPr>
              <w:t>（含）、</w:t>
            </w:r>
            <w:r>
              <w:rPr>
                <w:rStyle w:val="10"/>
                <w:bdr w:val="none" w:color="auto" w:sz="0" w:space="0"/>
                <w:lang w:val="en-US" w:eastAsia="zh-CN" w:bidi="ar"/>
              </w:rPr>
              <w:t>60%-0%</w:t>
            </w:r>
            <w:r>
              <w:rPr>
                <w:rStyle w:val="9"/>
                <w:bdr w:val="none" w:color="auto" w:sz="0" w:space="0"/>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12</w:t>
            </w:r>
          </w:p>
        </w:tc>
        <w:tc>
          <w:tcPr>
            <w:tcW w:w="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r>
              <w:rPr>
                <w:rStyle w:val="10"/>
                <w:bdr w:val="none" w:color="auto" w:sz="0" w:space="0"/>
                <w:lang w:val="en-US" w:eastAsia="zh-CN" w:bidi="ar"/>
              </w:rPr>
              <w:t>(50)</w:t>
            </w: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常态化监测任务数</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r>
              <w:rPr>
                <w:rStyle w:val="9"/>
                <w:bdr w:val="none" w:color="auto" w:sz="0" w:space="0"/>
                <w:lang w:val="en-US" w:eastAsia="zh-CN" w:bidi="ar"/>
              </w:rPr>
              <w:t>项</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13</w:t>
            </w:r>
            <w:r>
              <w:rPr>
                <w:rStyle w:val="9"/>
                <w:bdr w:val="none" w:color="auto" w:sz="0" w:space="0"/>
                <w:lang w:val="en-US" w:eastAsia="zh-CN" w:bidi="ar"/>
              </w:rPr>
              <w:t>项</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根据实际执行的监测任务数量按比例得分，超额完成得满分。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13</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医疗机构发热门诊开诊数量</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≥200</w:t>
            </w:r>
            <w:r>
              <w:rPr>
                <w:rStyle w:val="9"/>
                <w:bdr w:val="none" w:color="auto" w:sz="0" w:space="0"/>
                <w:lang w:val="en-US" w:eastAsia="zh-CN" w:bidi="ar"/>
              </w:rPr>
              <w:t>家</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239</w:t>
            </w:r>
            <w:r>
              <w:rPr>
                <w:rStyle w:val="9"/>
                <w:bdr w:val="none" w:color="auto" w:sz="0" w:space="0"/>
                <w:lang w:val="en-US" w:eastAsia="zh-CN" w:bidi="ar"/>
              </w:rPr>
              <w:t>家</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根据实际开诊的数量按比例得分，超额完成得满分。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14</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重点人群健康状况管理系统的65岁以上老人人数</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≥100</w:t>
            </w:r>
            <w:r>
              <w:rPr>
                <w:rStyle w:val="9"/>
                <w:bdr w:val="none" w:color="auto" w:sz="0" w:space="0"/>
                <w:lang w:val="en-US" w:eastAsia="zh-CN" w:bidi="ar"/>
              </w:rPr>
              <w:t>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120.9</w:t>
            </w:r>
            <w:r>
              <w:rPr>
                <w:rStyle w:val="9"/>
                <w:bdr w:val="none" w:color="auto" w:sz="0" w:space="0"/>
                <w:lang w:val="en-US" w:eastAsia="zh-CN" w:bidi="ar"/>
              </w:rPr>
              <w:t>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根据实际录入的人员信息数量按比例得分，超额完成得满分。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15</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医务人员临时性工作补贴发放及时性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及时</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评价要点： 是否有医务人员应发未发补贴情况的投诉 评分规则：要点执行情况分达成、部分达成、未达成三档，按100%-80%（含）、80%-60%（含）、60%-0%评分。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16</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新变异株疫情处置规范性</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规范</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评价要点： 是否有因不规范处置产生的疫情 评分规则：要点执行情况分达成、部分达成、未达成三档，按100%-80%（含）、80%-60%（含）、60%-0%评分。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17</w:t>
            </w:r>
          </w:p>
        </w:tc>
        <w:tc>
          <w:tcPr>
            <w:tcW w:w="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r>
              <w:rPr>
                <w:rStyle w:val="10"/>
                <w:bdr w:val="none" w:color="auto" w:sz="0" w:space="0"/>
                <w:lang w:val="en-US" w:eastAsia="zh-CN" w:bidi="ar"/>
              </w:rPr>
              <w:t>(20</w:t>
            </w:r>
            <w:r>
              <w:rPr>
                <w:rStyle w:val="9"/>
                <w:bdr w:val="none" w:color="auto" w:sz="0" w:space="0"/>
                <w:lang w:val="en-US" w:eastAsia="zh-CN" w:bidi="ar"/>
              </w:rPr>
              <w:t>）</w:t>
            </w:r>
          </w:p>
        </w:tc>
        <w:tc>
          <w:tcPr>
            <w:tcW w:w="4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社会效益</w:t>
            </w: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市公卫医疗中心能力</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考察公卫中心硬件设施、救治能力等提升情况 评分规则：要点执行情况分达成、部分达成、未达成三档，按100%-80%（含）、80%-60%（含）、60%-0%评分。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18</w:t>
            </w:r>
          </w:p>
        </w:tc>
        <w:tc>
          <w:tcPr>
            <w:tcW w:w="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Segoe UI" w:hAnsi="Segoe UI" w:eastAsia="Segoe UI" w:cs="Segoe UI"/>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疫情防控应急指挥体系</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完善</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达成</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bdr w:val="none" w:color="auto" w:sz="0" w:space="0"/>
                <w:lang w:val="en-US" w:eastAsia="zh-CN" w:bidi="ar"/>
              </w:rPr>
              <w:t>10</w:t>
            </w:r>
          </w:p>
        </w:tc>
        <w:tc>
          <w:tcPr>
            <w:tcW w:w="2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考察应急指挥体系的晚上情况 评分规则：要点执行情况分达成、部分达成、未达成三档，按100%-80%（含）、80%-60%（含）、60%-0%评分。</w:t>
            </w:r>
          </w:p>
        </w:tc>
      </w:tr>
    </w:tbl>
    <w:p>
      <w:pPr>
        <w:spacing w:line="560" w:lineRule="exact"/>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FZXBSK--GBK1-0">
    <w:altName w:val="Times New Roman"/>
    <w:panose1 w:val="00000000000000000000"/>
    <w:charset w:val="00"/>
    <w:family w:val="roman"/>
    <w:pitch w:val="default"/>
    <w:sig w:usb0="00000000" w:usb1="00000000" w:usb2="00000010" w:usb3="00000000" w:csb0="00040000" w:csb1="00000000"/>
  </w:font>
  <w:font w:name="FZKT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792C7"/>
    <w:multiLevelType w:val="singleLevel"/>
    <w:tmpl w:val="B33792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2M2Y0YzJlMDZjOTZlYjQyY2FmMjQ5N2ZkMDEwMDcifQ=="/>
  </w:docVars>
  <w:rsids>
    <w:rsidRoot w:val="00382194"/>
    <w:rsid w:val="000B0467"/>
    <w:rsid w:val="00120B9F"/>
    <w:rsid w:val="0024171D"/>
    <w:rsid w:val="00261A15"/>
    <w:rsid w:val="00281178"/>
    <w:rsid w:val="00284CD7"/>
    <w:rsid w:val="002B62D7"/>
    <w:rsid w:val="002F225F"/>
    <w:rsid w:val="00382194"/>
    <w:rsid w:val="003C0F7A"/>
    <w:rsid w:val="0048349C"/>
    <w:rsid w:val="004910BB"/>
    <w:rsid w:val="00563D27"/>
    <w:rsid w:val="005E5CBD"/>
    <w:rsid w:val="005F6DDB"/>
    <w:rsid w:val="00663957"/>
    <w:rsid w:val="007A0B62"/>
    <w:rsid w:val="00810D1B"/>
    <w:rsid w:val="00854353"/>
    <w:rsid w:val="008A7593"/>
    <w:rsid w:val="00A021FB"/>
    <w:rsid w:val="00AB2972"/>
    <w:rsid w:val="00B91670"/>
    <w:rsid w:val="00BF4B46"/>
    <w:rsid w:val="00C53346"/>
    <w:rsid w:val="00D03E0D"/>
    <w:rsid w:val="00D076A2"/>
    <w:rsid w:val="00D80BA6"/>
    <w:rsid w:val="00ED6988"/>
    <w:rsid w:val="00F126DE"/>
    <w:rsid w:val="474C4EA6"/>
    <w:rsid w:val="4A435FAB"/>
    <w:rsid w:val="5F83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01"/>
    <w:basedOn w:val="6"/>
    <w:uiPriority w:val="0"/>
    <w:rPr>
      <w:rFonts w:hint="eastAsia" w:ascii="宋体" w:hAnsi="宋体" w:eastAsia="宋体" w:cs="宋体"/>
      <w:color w:val="000000"/>
      <w:sz w:val="22"/>
      <w:szCs w:val="22"/>
      <w:u w:val="none"/>
    </w:rPr>
  </w:style>
  <w:style w:type="character" w:customStyle="1" w:styleId="10">
    <w:name w:val="font21"/>
    <w:basedOn w:val="6"/>
    <w:uiPriority w:val="0"/>
    <w:rPr>
      <w:rFonts w:hint="default" w:ascii="Segoe UI" w:hAnsi="Segoe UI" w:eastAsia="Segoe UI" w:cs="Segoe U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2157</Words>
  <Characters>2197</Characters>
  <Lines>17</Lines>
  <Paragraphs>4</Paragraphs>
  <TotalTime>20</TotalTime>
  <ScaleCrop>false</ScaleCrop>
  <LinksUpToDate>false</LinksUpToDate>
  <CharactersWithSpaces>2197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2021-06-10T09:08:00Z</dcterms:created>
  <dc:creator>lys</dc:creator>
  <cp:lastModifiedBy>微微珊</cp:lastModifiedBy>
  <dcterms:modified xsi:type="dcterms:W3CDTF">2024-06-27T03:31:41Z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CE86E006A18445008A88652FF3ED9947_12</vt:lpwstr>
  </property>
</Properties>
</file>